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200</w:t>
      </w:r>
    </w:p>
    <w:p>
      <w:r>
        <w:t>Bundesgericht (BGE), 1971-12-15, FR</w:t>
      </w:r>
    </w:p>
    <w:p>
      <w:r>
        <w:rPr>
          <w:b/>
        </w:rPr>
        <w:t xml:space="preserve">Quelle: </w:t>
      </w:r>
      <w:r>
        <w:t>https://mcp.opencaselaw.ch/entscheid/bge_101 II 200</w:t>
      </w:r>
    </w:p>
    <w:p>
      <w:r>
        <w:t>FR: ATF 101 II 200</w:t>
      </w:r>
    </w:p>
    <w:p>
      <w:r>
        <w:t>IT: DTF 101 II 200</w:t>
      </w:r>
    </w:p>
    <w:p>
      <w:pPr>
        <w:pStyle w:val="Heading2"/>
      </w:pPr>
      <w:r>
        <w:t>Regeste</w:t>
      </w:r>
    </w:p>
    <w:p>
      <w:r>
        <w:t>Regeste Art. 170 Abs. 2 ZGB. Laut Art. 170 Abs. 2 ZGB ist die Ehefrau berechtigt, für die Dauer des Scheidungsprozesses den gemeinsamen Haushalt aufzuheben, wobei sie ihren Aufenthaltsort frei wählen kann. Im Hinblick auf diese Bestimmung erscheint es als willkürlich, der Mutter das Kind nur unter der Bedingung zuzusprechen, dass sie in einer bestimmten Gegend wohnt.</w:t>
      </w:r>
    </w:p>
    <w:p>
      <w:pPr>
        <w:pStyle w:val="Heading2"/>
      </w:pPr>
      <w:r>
        <w:t>Erwägungen</w:t>
      </w:r>
    </w:p>
    <w:p>
      <w:r>
        <w:rPr>
          <w:b/>
        </w:rPr>
        <w:t>E. 1</w:t>
      </w:r>
    </w:p>
    <w:p>
      <w:r>
        <w:t>Après l'introduction d'une demande en divorce, chacun des époux a le droit de cesser la vie commune pendant la durée du procès (art. 170 al. 2 CC). La femme peut dès lors avoir une demeure séparée, qu'elle choisit librement. Ce droit ne saurait être supprimé ni restreint par le juge du divorce dans le cadre des mesures provisoires prévues par l'art. 145 CC. La fixation d'un rayon déterminé, à l'intérieur duquel devrait résider l'épouse en instance de divorce, serait ainsi manifestement incompatible avec l'art. 170 al. 2 CC.</w:t>
      </w:r>
    </w:p>
    <w:p>
      <w:r>
        <w:rPr>
          <w:b/>
        </w:rPr>
        <w:t>E. 2</w:t>
      </w:r>
    </w:p>
    <w:p>
      <w:r>
        <w:t>En matière d'attribution de la puissance paternelle après divorce ou séparation de corps (art. 156 CC), celui qui en est investi jouit notamment du droit de déterminer le domicile ou le lieu de résidence de l'enfant et il n'est pas limité dans son droit de s'établir où il lui convient; le bénéficiaire du droit de visite doit en principe subir les limitations qui résultent inévitablement d'un éloignement dans l'espace du détenteur de la puissance paternelle; c'est au juge de tenir compte de ce facteur lorsqu'il statue sur l'attribution de l'enfant et le droit de visite, ou sur une requête tendant à des mesures nouvelles selon l'art. 157 CC (RO 95 II 387 ss). Dans le cadre des mesures provisoires, le juge appelé à fixer le sort de l'enfant doit de même partir de la situation créée par l'usage que la femme a fait du droit d'avoir une demeure séparée et de la choisir librement, conformément à l'art. 170 al. 2 CC. Il lui appartient d'apprécier, du point de vue de l'intérêt de l'enfant principalement, les avantages et inconvénients des solutions possibles, quant à l'attribution de la garde de l'enfant et à la réglementation du droit de visite, en se fondant sur la résidence effective des parents. Il prendra en considération la durée probable de la réglementation provisoire, compte tenu de l'état de l'instance. Le juge ne saurait en revanche porter atteinte au droit que l'art. 170 al. 2 CC confère à la femme de se constituer un domicile séparé, selon son choix.</w:t>
      </w:r>
    </w:p>
    <w:p>
      <w:r>
        <w:rPr>
          <w:b/>
        </w:rPr>
        <w:t>E. 3</w:t>
      </w:r>
    </w:p>
    <w:p>
      <w:r>
        <w:t>En l'espèce, la condition à laquelle l'arrêt déféré subordonne l'attribution de la garde de l'enfant à la mère constitue une violation manifeste de ce droit. Considérant d'une part qu'il se justifiait de confier l'enfant à la garde de sa mère, qui n'avait "jamais démérité à cet égard", et constatant BGE 101 II 200 S. 203 d'autre part que, depuis la décision du premier juge, la recourante n'était pas revenue s'installer en Suisse romande avec sa fille, qui n'avait ainsi revu ni son père, ni aucun autre membre de la famille de ce dernier, le tribunal devait apprécier la situation résultant de ces circonstances et statuer en conséquence sur la garde de l'enfant et les modalités du droit de visite, compte tenu notamment de l'état avancé de l'instance - l'échange d'écritures est achevé et les pièces déposées, aucune expertise n'est demandée. Mais il ne pouvait pas contraindre indirectement la recourante, par cette décision, à résider dans une région déterminée et restreindre ainsi le libre choix de sa demeure dont elle jouit depuis l'ouverture du procès en divorce. En subordonnant l'attribution de l'enfant à sa mère à la condition que celle-ci revint s'installer en Suisse romande, l'autorité cantonale a méconnu de manière arbitraire l'art. 170 al. 2 CC. Sa décision doit partant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